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D512F4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D512F4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7B41EF" w:rsidRPr="00F25C71" w:rsidRDefault="00D512F4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C9350B" w:rsidRPr="00FC6AA9" w:rsidRDefault="00D512F4" w:rsidP="000E14BD">
      <w:pPr>
        <w:ind w:left="1276"/>
        <w:rPr>
          <w:rFonts w:cs="Arial"/>
          <w:b/>
          <w:szCs w:val="24"/>
        </w:rPr>
      </w:pPr>
      <w:r w:rsidRPr="00FC6AA9">
        <w:rPr>
          <w:b/>
        </w:rPr>
        <w:t>PAR</w:t>
      </w:r>
      <w:r w:rsidRPr="00FC6AA9">
        <w:rPr>
          <w:rFonts w:cs="Arial"/>
          <w:b/>
          <w:szCs w:val="24"/>
        </w:rPr>
        <w:t>A:</w:t>
      </w:r>
      <w:r w:rsidRPr="00FC6AA9">
        <w:rPr>
          <w:rFonts w:cs="Arial"/>
          <w:b/>
          <w:szCs w:val="24"/>
        </w:rPr>
        <w:tab/>
        <w:t xml:space="preserve"> </w:t>
      </w:r>
      <w:r w:rsidRPr="00FC6AA9">
        <w:rPr>
          <w:rFonts w:cs="Arial"/>
          <w:b/>
          <w:szCs w:val="24"/>
        </w:rPr>
        <w:t>OSCAR JULIÁN SÁNCHEZ CASAS</w:t>
      </w:r>
    </w:p>
    <w:p w:rsidR="004D073E" w:rsidRPr="00FC6AA9" w:rsidRDefault="00D512F4" w:rsidP="00F87D2B">
      <w:pPr>
        <w:tabs>
          <w:tab w:val="left" w:pos="-720"/>
          <w:tab w:val="left" w:pos="284"/>
        </w:tabs>
        <w:suppressAutoHyphens/>
        <w:ind w:right="-518" w:firstLine="1418"/>
        <w:rPr>
          <w:b/>
        </w:rPr>
      </w:pPr>
      <w:r w:rsidRPr="00FC6AA9">
        <w:rPr>
          <w:rFonts w:cs="Arial"/>
          <w:b/>
          <w:szCs w:val="24"/>
        </w:rPr>
        <w:tab/>
        <w:t xml:space="preserve"> </w:t>
      </w:r>
      <w:r w:rsidRPr="00FC6AA9">
        <w:rPr>
          <w:rFonts w:cs="Arial"/>
          <w:b/>
          <w:szCs w:val="24"/>
        </w:rPr>
        <w:t>DIRECTOR ADMINISTRATIVO Y FINANCIERO</w:t>
      </w:r>
    </w:p>
    <w:p w:rsidR="005C03C2" w:rsidRPr="00FC6AA9" w:rsidRDefault="00D512F4" w:rsidP="00F87D2B">
      <w:pPr>
        <w:tabs>
          <w:tab w:val="left" w:pos="-720"/>
          <w:tab w:val="left" w:pos="284"/>
        </w:tabs>
        <w:suppressAutoHyphens/>
        <w:ind w:right="-518" w:firstLine="1418"/>
        <w:rPr>
          <w:b/>
        </w:rPr>
      </w:pPr>
    </w:p>
    <w:p w:rsidR="00750C9E" w:rsidRPr="00FC6AA9" w:rsidRDefault="00D512F4" w:rsidP="007B41EF">
      <w:pPr>
        <w:tabs>
          <w:tab w:val="left" w:pos="-720"/>
          <w:tab w:val="left" w:pos="284"/>
        </w:tabs>
        <w:suppressAutoHyphens/>
        <w:ind w:right="-518"/>
        <w:rPr>
          <w:b/>
        </w:rPr>
      </w:pPr>
    </w:p>
    <w:p w:rsidR="005C03C2" w:rsidRPr="00FC6AA9" w:rsidRDefault="00D512F4" w:rsidP="00F87D2B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b/>
          <w:szCs w:val="24"/>
        </w:rPr>
        <w:sectPr w:rsidR="005C03C2" w:rsidRPr="00FC6AA9" w:rsidSect="00E65DFF"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5C03C2" w:rsidRPr="00FC6AA9" w:rsidRDefault="00D512F4" w:rsidP="00170C43">
      <w:pPr>
        <w:rPr>
          <w:b/>
        </w:rPr>
      </w:pPr>
      <w:r w:rsidRPr="00FC6AA9">
        <w:rPr>
          <w:rFonts w:cs="Arial"/>
          <w:b/>
          <w:szCs w:val="24"/>
        </w:rPr>
        <w:t>DE:</w:t>
      </w:r>
      <w:r w:rsidRPr="00FC6AA9">
        <w:rPr>
          <w:rFonts w:cs="Arial"/>
          <w:b/>
          <w:szCs w:val="24"/>
        </w:rPr>
        <w:tab/>
      </w:r>
      <w:r w:rsidRPr="00FC6AA9">
        <w:rPr>
          <w:rFonts w:cs="Arial"/>
          <w:b/>
          <w:szCs w:val="24"/>
        </w:rPr>
        <w:tab/>
      </w:r>
      <w:r w:rsidRPr="00FC6AA9">
        <w:rPr>
          <w:b/>
        </w:rPr>
        <w:t>SUBDIRECTORA DE RECURSOS MATERIALES</w:t>
      </w:r>
    </w:p>
    <w:p w:rsidR="007B41EF" w:rsidRDefault="00D512F4" w:rsidP="00170C43"/>
    <w:p w:rsidR="00750C9E" w:rsidRDefault="00D512F4" w:rsidP="00170C43">
      <w:pPr>
        <w:rPr>
          <w:rFonts w:cs="Arial"/>
          <w:b/>
          <w:szCs w:val="24"/>
        </w:rPr>
        <w:sectPr w:rsidR="00750C9E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350B" w:rsidRPr="000F4A96" w:rsidRDefault="00D512F4" w:rsidP="000F4A96">
      <w:pPr>
        <w:ind w:left="1418" w:hanging="1418"/>
        <w:rPr>
          <w:rFonts w:cs="Arial"/>
          <w:szCs w:val="24"/>
        </w:rPr>
      </w:pPr>
      <w:r w:rsidRPr="00F25C71"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 w:rsidRPr="00FC6AA9">
        <w:rPr>
          <w:b/>
        </w:rPr>
        <w:t xml:space="preserve">Rendición cuenta anual vigencia 2016 – Auditoría Fiscal ante la </w:t>
      </w:r>
      <w:r w:rsidRPr="00FC6AA9">
        <w:rPr>
          <w:b/>
        </w:rPr>
        <w:t>Contraloría de Bogotá</w:t>
      </w:r>
    </w:p>
    <w:p w:rsidR="00B50A66" w:rsidRDefault="00D512F4" w:rsidP="008024E5">
      <w:pPr>
        <w:ind w:firstLine="1418"/>
      </w:pPr>
    </w:p>
    <w:p w:rsidR="0080302C" w:rsidRDefault="00D512F4" w:rsidP="004D073E"/>
    <w:p w:rsidR="0080302C" w:rsidRDefault="00D512F4" w:rsidP="000F4A96">
      <w:pPr>
        <w:jc w:val="both"/>
      </w:pPr>
      <w:r>
        <w:t>En respuesta del memorando 3-2017-01458, y dando cumplimiento a la Resolución Reglamentaria Nº 002 de 2012</w:t>
      </w:r>
      <w:r>
        <w:t>,</w:t>
      </w:r>
      <w:r>
        <w:t xml:space="preserve"> envío lo correspondiente a la Subdirección de Recursos Materiales dentro del ítem de GESTIÓN CBN-1026 – Inventarios Físicos </w:t>
      </w:r>
      <w:r>
        <w:t>(Cierre SAI noviembre y diciembre por placas); como soporte a lo anterior se envían los comprobantes del año 2016. La información fue extraída directamente del sistema oficial de la Contraloría de Bogotá: Si Capital del módulo SAI, lo que garantiza la inte</w:t>
      </w:r>
      <w:r>
        <w:t>gralidad, veracidad, calidad, consistencia y oportunidad de la información.</w:t>
      </w:r>
    </w:p>
    <w:p w:rsidR="000F4A96" w:rsidRDefault="00D512F4" w:rsidP="000F4A96">
      <w:pPr>
        <w:jc w:val="both"/>
      </w:pPr>
    </w:p>
    <w:p w:rsidR="000F4A96" w:rsidRPr="000F4A96" w:rsidRDefault="00D512F4" w:rsidP="000F4A96">
      <w:pPr>
        <w:jc w:val="both"/>
      </w:pPr>
      <w:r>
        <w:t>Quedo atenta a cualquier inquietud o aclaración adicional</w:t>
      </w:r>
    </w:p>
    <w:p w:rsidR="00A66099" w:rsidRDefault="00D512F4" w:rsidP="000F4A96">
      <w:pPr>
        <w:jc w:val="both"/>
      </w:pPr>
    </w:p>
    <w:p w:rsidR="00A66099" w:rsidRDefault="00D512F4" w:rsidP="000F4A96">
      <w:pPr>
        <w:jc w:val="both"/>
      </w:pPr>
    </w:p>
    <w:p w:rsidR="0080302C" w:rsidRDefault="00D512F4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RDefault="00D512F4" w:rsidP="006836EB">
      <w:pPr>
        <w:outlineLvl w:val="0"/>
        <w:rPr>
          <w:rFonts w:cs="Arial"/>
          <w:szCs w:val="24"/>
        </w:rPr>
      </w:pPr>
    </w:p>
    <w:p w:rsidR="00EC36C7" w:rsidRDefault="00D512F4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C642C3" w:rsidTr="00EC36C7">
        <w:trPr>
          <w:trHeight w:val="988"/>
        </w:trPr>
        <w:tc>
          <w:tcPr>
            <w:tcW w:w="4673" w:type="dxa"/>
          </w:tcPr>
          <w:p w:rsidR="007A6B81" w:rsidRDefault="00D512F4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D512F4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73.5pt">
                  <v:imagedata r:id="rId9" o:title=""/>
                </v:shape>
              </w:pict>
            </w:r>
            <w:bookmarkEnd w:id="11"/>
          </w:p>
        </w:tc>
      </w:tr>
      <w:tr w:rsidR="00C642C3" w:rsidTr="00EC36C7">
        <w:trPr>
          <w:trHeight w:val="286"/>
        </w:trPr>
        <w:tc>
          <w:tcPr>
            <w:tcW w:w="4673" w:type="dxa"/>
          </w:tcPr>
          <w:p w:rsidR="007A6B81" w:rsidRDefault="00D512F4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D512F4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XIMENA LILIANA BUSTOS VELASCO</w:t>
            </w:r>
            <w:bookmarkEnd w:id="12"/>
          </w:p>
        </w:tc>
      </w:tr>
    </w:tbl>
    <w:p w:rsidR="00EC36C7" w:rsidRDefault="00D512F4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D512F4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197795" w:rsidRDefault="00D512F4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SI _x</w:t>
      </w:r>
      <w:r>
        <w:rPr>
          <w:rFonts w:cs="Arial"/>
          <w:sz w:val="18"/>
          <w:szCs w:val="18"/>
        </w:rPr>
        <w:t xml:space="preserve">_     NO__                  </w:t>
      </w:r>
    </w:p>
    <w:p w:rsidR="00FC6AA9" w:rsidRPr="00FC6AA9" w:rsidRDefault="00D512F4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Archivo: </w:t>
      </w:r>
      <w:r w:rsidRPr="00FC6AA9">
        <w:rPr>
          <w:rFonts w:cs="Arial"/>
          <w:sz w:val="18"/>
          <w:szCs w:val="18"/>
        </w:rPr>
        <w:t>SAI_INV_PLACAS_CUENTAS_NOV_2016</w:t>
      </w:r>
      <w:r>
        <w:rPr>
          <w:rFonts w:cs="Arial"/>
          <w:sz w:val="18"/>
          <w:szCs w:val="18"/>
        </w:rPr>
        <w:t xml:space="preserve"> (260 folios – formato PDF)</w:t>
      </w:r>
    </w:p>
    <w:p w:rsidR="00FC6AA9" w:rsidRPr="00FC6AA9" w:rsidRDefault="00D512F4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Archivo: </w:t>
      </w:r>
      <w:r w:rsidRPr="00FC6AA9">
        <w:rPr>
          <w:rFonts w:cs="Arial"/>
          <w:sz w:val="18"/>
          <w:szCs w:val="18"/>
        </w:rPr>
        <w:t>SAI_INV_PLACAS_CUENTAS_DIC_2016</w:t>
      </w:r>
      <w:r>
        <w:rPr>
          <w:rFonts w:cs="Arial"/>
          <w:sz w:val="18"/>
          <w:szCs w:val="18"/>
        </w:rPr>
        <w:t xml:space="preserve"> (231 folios – formato PDF)</w:t>
      </w:r>
    </w:p>
    <w:p w:rsidR="00FC6AA9" w:rsidRPr="00FC6AA9" w:rsidRDefault="00D512F4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Archivo: </w:t>
      </w:r>
      <w:r w:rsidRPr="00FC6AA9">
        <w:rPr>
          <w:rFonts w:cs="Arial"/>
          <w:sz w:val="18"/>
          <w:szCs w:val="18"/>
        </w:rPr>
        <w:t>Comprobantes_2016</w:t>
      </w:r>
      <w:r>
        <w:rPr>
          <w:rFonts w:cs="Arial"/>
          <w:sz w:val="18"/>
          <w:szCs w:val="18"/>
        </w:rPr>
        <w:t xml:space="preserve"> (Formato ZIP)</w:t>
      </w:r>
    </w:p>
    <w:p w:rsidR="00FC6AA9" w:rsidRDefault="00D512F4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197795" w:rsidRPr="00FC6AA9" w:rsidRDefault="00D512F4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Copia: </w:t>
      </w:r>
      <w:r>
        <w:rPr>
          <w:rFonts w:cs="Arial"/>
          <w:sz w:val="18"/>
          <w:szCs w:val="18"/>
        </w:rPr>
        <w:t>Jose Mauricio González – Almacenista En</w:t>
      </w:r>
      <w:r>
        <w:rPr>
          <w:rFonts w:cs="Arial"/>
          <w:sz w:val="18"/>
          <w:szCs w:val="18"/>
        </w:rPr>
        <w:t>cargado</w:t>
      </w:r>
    </w:p>
    <w:p w:rsidR="00197795" w:rsidRPr="00F25C71" w:rsidRDefault="00D512F4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sectPr w:rsidR="00197795" w:rsidRPr="00F25C71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F4" w:rsidRDefault="00D512F4">
      <w:r>
        <w:separator/>
      </w:r>
    </w:p>
  </w:endnote>
  <w:endnote w:type="continuationSeparator" w:id="0">
    <w:p w:rsidR="00D512F4" w:rsidRDefault="00D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D512F4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D512F4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D512F4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D512F4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D512F4" w:rsidP="00A6281F">
    <w:pPr>
      <w:pStyle w:val="Piedepgina"/>
      <w:spacing w:before="100"/>
      <w:jc w:val="left"/>
    </w:pPr>
  </w:p>
  <w:p w:rsidR="007732BF" w:rsidRDefault="00D512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F4" w:rsidRDefault="00D512F4">
      <w:r>
        <w:separator/>
      </w:r>
    </w:p>
  </w:footnote>
  <w:footnote w:type="continuationSeparator" w:id="0">
    <w:p w:rsidR="00D512F4" w:rsidRDefault="00D5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C642C3" w:rsidTr="00862F8F">
      <w:trPr>
        <w:trHeight w:val="1691"/>
      </w:trPr>
      <w:tc>
        <w:tcPr>
          <w:tcW w:w="4536" w:type="dxa"/>
        </w:tcPr>
        <w:p w:rsidR="00EA2FDC" w:rsidRDefault="00D512F4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D512F4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Si</w:t>
                                </w:r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D512F4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3-2017-02098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2017-01-31 09:06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844357</w:t>
                                </w:r>
                                <w:bookmarkEnd w:id="5"/>
                              </w:p>
                              <w:p w:rsidR="00EA2FDC" w:rsidRPr="00E65DFF" w:rsidRDefault="00D512F4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OSCAR JULIAN SANCHEZ CASAS</w:t>
                                </w:r>
                                <w:bookmarkEnd w:id="6"/>
                              </w:p>
                              <w:p w:rsidR="00EA2FDC" w:rsidRPr="00E65DFF" w:rsidRDefault="00D512F4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SUBDIRECCIÓN DE RECURSOS MATERIALES</w:t>
                                </w:r>
                                <w:bookmarkEnd w:id="7"/>
                              </w:p>
                              <w:p w:rsidR="00EA2FDC" w:rsidRPr="00E65DFF" w:rsidRDefault="00D512F4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60300-01972</w:t>
                                </w:r>
                                <w:bookmarkEnd w:id="10"/>
                              </w:p>
                              <w:p w:rsidR="00EA2FDC" w:rsidRPr="00F83586" w:rsidRDefault="00D512F4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height:62.25pt;margin-left:9.75pt;margin-top:11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5.5pt;z-index:251661312" filled="f" strokecolor="white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Si</w:t>
                          </w:r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XXXXXXXXXXX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XXXX-XX-XX XX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:XX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XXXXXXXXXXXXXXXXXXXXXXXXXXXXXXXXXXXXXXX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Dependencia 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XXXXXXXXXXXXXXXXXXXXXXXXXXXXX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XXXXXXXX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X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height:65.25pt;margin-left:15.05pt;margin-top:8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53.9pt;z-index:251659264" arcsize="10923f" filled="f"/>
                </w:pict>
              </mc:Fallback>
            </mc:AlternateContent>
          </w:r>
        </w:p>
        <w:p w:rsidR="00EA2FDC" w:rsidRDefault="00D512F4" w:rsidP="00A6281F">
          <w:pPr>
            <w:pStyle w:val="Encabezado"/>
            <w:spacing w:before="100"/>
            <w:jc w:val="both"/>
          </w:pPr>
        </w:p>
        <w:p w:rsidR="00EA2FDC" w:rsidRDefault="00D512F4" w:rsidP="00A6281F">
          <w:pPr>
            <w:pStyle w:val="Encabezado"/>
            <w:spacing w:before="100"/>
            <w:jc w:val="both"/>
          </w:pPr>
        </w:p>
        <w:p w:rsidR="00EA2FDC" w:rsidRDefault="00D512F4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D512F4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D512F4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D512F4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7/u9IF6XXBV6XE9ZVhmiUKUqvgEV6ueyW3rEhSIXsif4NR1TcyOOsk/E+IX0viqUL/lkdF2qa/5CLua/6rP+Mg==" w:saltValue="eWXEu2K8U09GkREtU3rGSQ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C3"/>
    <w:rsid w:val="005D2E63"/>
    <w:rsid w:val="00C642C3"/>
    <w:rsid w:val="00D5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7BCB6348-011D-4C53-82E5-CA54C1CE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1CEF-7EEC-4FB6-9192-65D20104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Ximena Liliana Bustos Velasco</cp:lastModifiedBy>
  <cp:revision>2</cp:revision>
  <dcterms:created xsi:type="dcterms:W3CDTF">2017-01-31T14:06:00Z</dcterms:created>
  <dcterms:modified xsi:type="dcterms:W3CDTF">2017-01-31T14:06:00Z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